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260D10" w:rsidRDefault="00260D10" w:rsidP="00260D1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нарушений обязательных требований, осуществляемой органом муниципального контроля</w:t>
      </w:r>
      <w:r w:rsidR="0038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администрацией </w:t>
      </w:r>
    </w:p>
    <w:p w:rsidR="00260D10" w:rsidRDefault="00260D10" w:rsidP="00260D1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Криволукского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260D10" w:rsidRPr="00260D10" w:rsidRDefault="00260D10" w:rsidP="00260D1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плановый период 2022-2023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г.г.</w:t>
      </w:r>
    </w:p>
    <w:p w:rsidR="00260D10" w:rsidRDefault="00260D10" w:rsidP="00260D10">
      <w:pPr>
        <w:shd w:val="clear" w:color="auto" w:fill="FFFFFF"/>
        <w:spacing w:before="117" w:after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EF6" w:rsidRDefault="00DB0EF6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КИРЕНСКИЙ РАЙОН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D10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ПОСТАНОВЛЕНИЕ</w:t>
      </w:r>
    </w:p>
    <w:p w:rsidR="00DB0EF6" w:rsidRPr="00EA2E39" w:rsidRDefault="00DB0EF6" w:rsidP="00DB0EF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01.06.2021г.  г. № 34 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Default="00260D10" w:rsidP="00DB0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  Программы  профилактики нарушений  обязательных требований, осуществляемой органом муниципального контрол</w:t>
      </w:r>
      <w:proofErr w:type="gramStart"/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Криволукского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260D10" w:rsidRPr="00260D10" w:rsidRDefault="00260D10" w:rsidP="00DB0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2021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  период  2022-2023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г.г.</w:t>
      </w:r>
    </w:p>
    <w:p w:rsidR="00260D10" w:rsidRPr="00260D10" w:rsidRDefault="00260D10" w:rsidP="00DB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 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нарушений  обязательных требований, осуществляемой органом муниципального контрол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  2021 год и плановый  период  2022-2023</w:t>
      </w:r>
      <w:r w:rsidR="00DB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Должностным лицам администрации  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2  настоящего постановления.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260D10" w:rsidRPr="00260D10" w:rsidRDefault="00260D10" w:rsidP="00260D10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0D10">
        <w:rPr>
          <w:rFonts w:ascii="Times New Roman" w:hAnsi="Times New Roman"/>
          <w:bCs/>
          <w:sz w:val="24"/>
          <w:szCs w:val="24"/>
        </w:rPr>
        <w:t xml:space="preserve">Настоящее постановление </w:t>
      </w:r>
      <w:r w:rsidRPr="00260D10">
        <w:rPr>
          <w:rFonts w:ascii="Times New Roman" w:hAnsi="Times New Roman"/>
          <w:sz w:val="24"/>
          <w:szCs w:val="24"/>
        </w:rPr>
        <w:t xml:space="preserve">вступает в силу после дня его официального опубликования в журнале  «Вестник </w:t>
      </w:r>
      <w:proofErr w:type="spellStart"/>
      <w:r w:rsidRPr="00260D10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260D10">
        <w:rPr>
          <w:rFonts w:ascii="Times New Roman" w:hAnsi="Times New Roman"/>
          <w:sz w:val="24"/>
          <w:szCs w:val="24"/>
        </w:rPr>
        <w:t xml:space="preserve"> МО» и размещения на официальном сайте Киренского муниципального района в разделе «Поселения» в сети Интернет.</w:t>
      </w:r>
    </w:p>
    <w:p w:rsidR="00260D10" w:rsidRDefault="00260D10" w:rsidP="0026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60D10" w:rsidRPr="00260D10" w:rsidRDefault="00260D10" w:rsidP="0026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60D10">
        <w:rPr>
          <w:rFonts w:ascii="Times New Roman" w:hAnsi="Times New Roman"/>
          <w:kern w:val="2"/>
          <w:sz w:val="24"/>
          <w:szCs w:val="24"/>
        </w:rPr>
        <w:t xml:space="preserve">Глава </w:t>
      </w:r>
      <w:proofErr w:type="spellStart"/>
      <w:r w:rsidRPr="00260D10">
        <w:rPr>
          <w:rFonts w:ascii="Times New Roman" w:hAnsi="Times New Roman"/>
          <w:kern w:val="2"/>
          <w:sz w:val="24"/>
          <w:szCs w:val="24"/>
        </w:rPr>
        <w:t>Криволукского</w:t>
      </w:r>
      <w:proofErr w:type="spellEnd"/>
      <w:r w:rsidRPr="00260D10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60D10" w:rsidRPr="00260D10" w:rsidRDefault="00260D10" w:rsidP="0026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D10">
        <w:rPr>
          <w:rFonts w:ascii="Times New Roman" w:hAnsi="Times New Roman"/>
          <w:kern w:val="2"/>
          <w:sz w:val="24"/>
          <w:szCs w:val="24"/>
        </w:rPr>
        <w:t>муниципального образования:    _______</w:t>
      </w:r>
      <w:r w:rsidR="00DB0EF6">
        <w:rPr>
          <w:rFonts w:ascii="Times New Roman" w:hAnsi="Times New Roman"/>
          <w:kern w:val="2"/>
          <w:sz w:val="24"/>
          <w:szCs w:val="24"/>
        </w:rPr>
        <w:t>_____</w:t>
      </w:r>
      <w:r w:rsidRPr="00260D10">
        <w:rPr>
          <w:rFonts w:ascii="Times New Roman" w:hAnsi="Times New Roman"/>
          <w:kern w:val="2"/>
          <w:sz w:val="24"/>
          <w:szCs w:val="24"/>
        </w:rPr>
        <w:t xml:space="preserve">   </w:t>
      </w:r>
      <w:proofErr w:type="spellStart"/>
      <w:r w:rsidRPr="00260D10">
        <w:rPr>
          <w:rFonts w:ascii="Times New Roman" w:hAnsi="Times New Roman"/>
          <w:kern w:val="2"/>
          <w:sz w:val="24"/>
          <w:szCs w:val="24"/>
        </w:rPr>
        <w:t>В.И.Хорошева</w:t>
      </w:r>
      <w:proofErr w:type="spellEnd"/>
    </w:p>
    <w:p w:rsid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DB0EF6" w:rsidRPr="00260D10" w:rsidRDefault="00DB0EF6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60D10" w:rsidRPr="00260D10" w:rsidRDefault="00260D10" w:rsidP="00260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60D10" w:rsidRPr="00260D10" w:rsidRDefault="00260D10" w:rsidP="00260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60D10" w:rsidRPr="00260D10" w:rsidRDefault="00260D10" w:rsidP="00260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260D10" w:rsidRPr="00260D10" w:rsidRDefault="00DB0EF6" w:rsidP="00260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01.06.2021г. </w:t>
      </w:r>
      <w:r w:rsid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260D10" w:rsidRPr="00260D10" w:rsidRDefault="00260D10" w:rsidP="00260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9"/>
      <w:bookmarkEnd w:id="0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нарушений  обязательных требований, осуществляемой органом муниципального контрол</w:t>
      </w:r>
      <w:proofErr w:type="gramStart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Криволукского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  2021 год и плановый  период  2022-2023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2"/>
        <w:gridCol w:w="7379"/>
      </w:tblGrid>
      <w:tr w:rsidR="00260D10" w:rsidRPr="00260D10" w:rsidTr="00260D10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  обязательных требований, осуществляемой органом муниципального контрол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  2021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 </w:t>
            </w:r>
          </w:p>
          <w:p w:rsidR="00260D10" w:rsidRPr="00260D10" w:rsidRDefault="00260D10" w:rsidP="00260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  период  2022-2023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260D10" w:rsidRPr="00260D10" w:rsidRDefault="00260D10" w:rsidP="0026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60D10" w:rsidRPr="00260D10" w:rsidRDefault="00260D10" w:rsidP="00260D10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60D10" w:rsidRPr="00260D10" w:rsidRDefault="00260D10" w:rsidP="00260D10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(далее – Администрация поселения)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 – требований, установленных законодательством РФ);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-выявление причин, факторов и условий, способствующих нарушениям обязательных требований, установленных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 РФ;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и плановый период 2022-2023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  поселения, требований законодательства РФ;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I. Аналитическая часть программы профилактики.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Задачами программы являются: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260D10" w:rsidRPr="00260D10" w:rsidRDefault="00F2752B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Программа разработана на 2021-2023 годы.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Функции муниципального контроля  осуществляет  администрация 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рамках профилактики предупреждения нарушений, установленных законодательством, администрацией   муниципального образования 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9. Виды муниципального контроля, осуществляемого администрацией   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58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4587"/>
        <w:gridCol w:w="4415"/>
      </w:tblGrid>
      <w:tr w:rsidR="00260D10" w:rsidRPr="00260D10" w:rsidTr="00DB0EF6">
        <w:trPr>
          <w:trHeight w:val="1461"/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60D10" w:rsidRPr="00260D10" w:rsidTr="00DB0EF6">
        <w:trPr>
          <w:trHeight w:val="962"/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жилищный контроль на территории </w:t>
            </w:r>
            <w:proofErr w:type="spellStart"/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администрации,</w:t>
            </w:r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260D10" w:rsidRPr="00260D10" w:rsidTr="00DB0EF6">
        <w:trPr>
          <w:trHeight w:val="731"/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благоустройства на территории</w:t>
            </w:r>
          </w:p>
          <w:p w:rsidR="00260D10" w:rsidRPr="00260D10" w:rsidRDefault="00260D10" w:rsidP="00DB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Киренского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r w:rsidR="00C2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администрации,</w:t>
            </w:r>
            <w:r w:rsidR="00C2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260D10" w:rsidRPr="00260D10" w:rsidTr="00DB0EF6">
        <w:trPr>
          <w:trHeight w:val="1170"/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  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DB0EF6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администрации,</w:t>
            </w:r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9.1. Муниципальный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  муниципального образования 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действующим законодательством, Уставом муниципального образования 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Правилами благоустройства территории муниципального образования 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Административным регламентом  осуществления     муниципального контроля     за    соблюдением    Правил   благоустройства    на    территории муниципального   образования   </w:t>
      </w:r>
      <w:proofErr w:type="spellStart"/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  поселение </w:t>
      </w:r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утвержденным </w:t>
      </w:r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16.04.2021 №94/4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 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осуществляет  администрация </w:t>
      </w:r>
      <w:proofErr w:type="spellStart"/>
      <w:r w:rsidR="00B704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C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(должностные лица).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proofErr w:type="spellStart"/>
      <w:r w:rsidR="00C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</w:t>
      </w:r>
      <w:r w:rsidR="00B70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Кировской области и  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Объектами профилактических мероприятий при осуществлении     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являются юридические лица, индивидуальные предприниматели, граждане (подконтрольные субъекты)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благоустройства территорий муниципального образования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Основанием для проведения плановой проверки является ежегодный план проведения плановых проверок.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Плановые проверки по муниципальному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в отношении юридических лиц и индивидуальных предпринимателей в 2019 году не проводились, внеплановые проверки не осуществлялись.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9.2. Муниципальный жилищный контроль на территории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действующим законодательством, административным регламентом осуществления муниципального жилищного контроля на территории муниципального образования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утвержденным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от 01.04.2013 №7/3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муниципального жилищного контроля осуществляет  администрация 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(должностные лица).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4" w:history="1">
        <w:r w:rsidRPr="00260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 w:rsidR="0079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  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профилактических мероприятий при осуществлении     муниципального жилищного контроля на территории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являются юридические лица, индивидуальные предприниматели, граждане (подконтрольные субъекты)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Плановые проверки по муниципальному жилищному контролю в отношении юридических лиц и индиви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предпринимателей в 2020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проводились, внеплановые проверки не осуществлялись.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9.3. Муниципальный  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действующим законодательством, административным регламентом «Осуществление 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области»», утвержденным постановлением администрации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от 21.08.2020 №41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  администрация 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(должностные лица).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Кировской области и  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4F7B0A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являются юридические лица, индивидуальные предприниматели, граждане (подконтрольные субъекты)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 муниципальному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4F7B0A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отношении юридических лиц и индивид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уальных предпринимателей на 2020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запланированы не были, внеплановые проверки не осуществлялись.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План мероприятий по профилактике нарушений,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реализуемых</w:t>
      </w:r>
      <w:proofErr w:type="gramEnd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администрацией  </w:t>
      </w:r>
      <w:proofErr w:type="spellStart"/>
      <w:r w:rsidR="004F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Криволукского</w:t>
      </w:r>
      <w:proofErr w:type="spellEnd"/>
      <w:r w:rsidR="004F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2021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235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4309"/>
        <w:gridCol w:w="1896"/>
        <w:gridCol w:w="2356"/>
      </w:tblGrid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4F7B0A">
            <w:pPr>
              <w:spacing w:before="117" w:after="117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Иркутской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в сети «Интернет» для каждого вида муниципального контроля перечней нормативных правовых актов или их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осуществление муниципального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EF6" w:rsidRDefault="00DB0EF6" w:rsidP="00260D10">
      <w:pPr>
        <w:shd w:val="clear" w:color="auto" w:fill="FFFFFF"/>
        <w:spacing w:before="117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EF6" w:rsidRDefault="00DB0EF6" w:rsidP="00260D10">
      <w:pPr>
        <w:shd w:val="clear" w:color="auto" w:fill="FFFFFF"/>
        <w:spacing w:before="117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Pr="00260D10" w:rsidRDefault="00260D10" w:rsidP="00260D10">
      <w:pPr>
        <w:shd w:val="clear" w:color="auto" w:fill="FFFFFF"/>
        <w:spacing w:before="117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Раздел III.  Проект плана программных мероприятий п</w:t>
      </w:r>
      <w:r w:rsidR="004F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профилактике нарушений на 2022-2023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tbl>
      <w:tblPr>
        <w:tblW w:w="9299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4592"/>
        <w:gridCol w:w="1896"/>
        <w:gridCol w:w="2137"/>
      </w:tblGrid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4F7B0A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  </w:t>
            </w: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на осуществление муниципального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  Целевые показатели Программы и их значения по годам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  <w:gridCol w:w="1094"/>
        <w:gridCol w:w="1105"/>
        <w:gridCol w:w="1378"/>
      </w:tblGrid>
      <w:tr w:rsidR="00260D10" w:rsidRPr="00260D10" w:rsidTr="00260D10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60D10" w:rsidRPr="00260D10" w:rsidRDefault="00260D10" w:rsidP="0026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4F7B0A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МО  </w:t>
            </w:r>
            <w:proofErr w:type="spellStart"/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Оценка эффективности программы.</w:t>
      </w:r>
    </w:p>
    <w:p w:rsidR="00260D10" w:rsidRPr="00260D10" w:rsidRDefault="004F7B0A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Отчетные показатели на 2021</w:t>
      </w:r>
      <w:r w:rsidR="00260D10"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260D10" w:rsidRPr="00260D10" w:rsidTr="00260D1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60D10" w:rsidRPr="00260D10" w:rsidRDefault="00260D10" w:rsidP="004F7B0A">
      <w:pPr>
        <w:shd w:val="clear" w:color="auto" w:fill="FFFFFF"/>
        <w:spacing w:before="117" w:after="117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стных лиц органа муниципального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Про</w:t>
      </w:r>
      <w:r w:rsidR="004F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 отчетных показателей на 2022 и 2023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260D10" w:rsidRPr="00260D10" w:rsidTr="00260D1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VI.  Ресурсное обеспечение программы</w:t>
      </w:r>
    </w:p>
    <w:p w:rsidR="00260D10" w:rsidRPr="00260D10" w:rsidRDefault="00260D10" w:rsidP="004F7B0A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органов местного самоуправления 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E32217" w:rsidRPr="00260D10" w:rsidRDefault="00E32217">
      <w:pPr>
        <w:rPr>
          <w:rFonts w:ascii="Times New Roman" w:hAnsi="Times New Roman" w:cs="Times New Roman"/>
          <w:sz w:val="24"/>
          <w:szCs w:val="24"/>
        </w:rPr>
      </w:pPr>
    </w:p>
    <w:sectPr w:rsidR="00E32217" w:rsidRPr="00260D10" w:rsidSect="00DB0E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10"/>
    <w:rsid w:val="000B09D4"/>
    <w:rsid w:val="00260D10"/>
    <w:rsid w:val="00386BAF"/>
    <w:rsid w:val="003E7A27"/>
    <w:rsid w:val="004F7B0A"/>
    <w:rsid w:val="006C09AC"/>
    <w:rsid w:val="00795A3D"/>
    <w:rsid w:val="00B7040A"/>
    <w:rsid w:val="00C26FE6"/>
    <w:rsid w:val="00C64EE5"/>
    <w:rsid w:val="00DB0EF6"/>
    <w:rsid w:val="00E32217"/>
    <w:rsid w:val="00EA6188"/>
    <w:rsid w:val="00F2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17"/>
  </w:style>
  <w:style w:type="paragraph" w:styleId="3">
    <w:name w:val="heading 3"/>
    <w:basedOn w:val="a"/>
    <w:link w:val="30"/>
    <w:uiPriority w:val="9"/>
    <w:qFormat/>
    <w:rsid w:val="00260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0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800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2021-06-16T03:48:00Z</cp:lastPrinted>
  <dcterms:created xsi:type="dcterms:W3CDTF">2021-05-18T01:23:00Z</dcterms:created>
  <dcterms:modified xsi:type="dcterms:W3CDTF">2021-06-16T03:48:00Z</dcterms:modified>
</cp:coreProperties>
</file>